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bookmarkStart w:id="0" w:name="_GoBack"/>
      <w:bookmarkEnd w:id="0"/>
      <w:r w:rsidRPr="00226546">
        <w:rPr>
          <w:b/>
        </w:rPr>
        <w:t>Si la responsabilité du PORT AUTONOME DE PAPEETE est établie à raison d’une prestation effectuée dans le cadre du contrat de location</w:t>
      </w:r>
      <w:r>
        <w:rPr>
          <w:b/>
        </w:rPr>
        <w:t xml:space="preserve"> de sa cale de halage</w:t>
      </w:r>
      <w:r w:rsidRPr="00226546">
        <w:rPr>
          <w:b/>
        </w:rPr>
        <w:t>, l’indemnité qui peut être mise à la charge du PORT AUTONOME DE PAPEETE est néanmoins limitée, quelle que soit la cause des avaries et leurs conséquences.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et ses ASSUREURS CORPS DE NAVIRE reconnaissent que cette clause essentielle relève de l’économie du contrat et s’engagent à renoncer à recourir en responsabilité à l’encontre du PORT AUTONOME DE PAPEETE et de ses ASSUREURS DE RESPONSABILITES, à raison des opérations effectuées dans le cadre de ce contrat au-delà des sommes indiqué</w:t>
      </w:r>
      <w:r>
        <w:rPr>
          <w:b/>
        </w:rPr>
        <w:t>e</w:t>
      </w:r>
      <w:r w:rsidRPr="00226546">
        <w:rPr>
          <w:b/>
        </w:rPr>
        <w:t>s ci-dessous.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Le plafond d’indemnité ainsi convenu entre les parties est limité à :</w:t>
      </w:r>
    </w:p>
    <w:p w:rsidR="00363A79" w:rsidRPr="00363A79" w:rsidRDefault="00363A79" w:rsidP="00480C62">
      <w:pPr>
        <w:pStyle w:val="Retraitcorpsdetexte"/>
        <w:numPr>
          <w:ilvl w:val="0"/>
          <w:numId w:val="3"/>
        </w:numPr>
        <w:spacing w:before="240" w:after="240"/>
        <w:ind w:left="851" w:right="567" w:hanging="284"/>
        <w:jc w:val="both"/>
        <w:rPr>
          <w:rFonts w:ascii="Arial" w:hAnsi="Arial" w:cs="Arial"/>
          <w:b/>
          <w:caps/>
          <w:sz w:val="22"/>
          <w:szCs w:val="22"/>
        </w:rPr>
      </w:pP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</w:t>
      </w:r>
      <w:r w:rsidR="001A66B7">
        <w:rPr>
          <w:rFonts w:ascii="Arial" w:hAnsi="Arial" w:cs="Arial"/>
          <w:b/>
          <w:caps/>
          <w:sz w:val="22"/>
          <w:szCs w:val="22"/>
          <w:u w:val="single"/>
        </w:rPr>
        <w:t> 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1 000 000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tous dommages confondus dont </w:t>
      </w:r>
      <w:r w:rsidRPr="00363A79">
        <w:rPr>
          <w:rFonts w:ascii="Arial" w:hAnsi="Arial" w:cs="Arial"/>
          <w:b/>
          <w:caps/>
          <w:sz w:val="22"/>
          <w:szCs w:val="22"/>
          <w:u w:val="single"/>
        </w:rPr>
        <w:t>EUR 250 000</w:t>
      </w:r>
      <w:r w:rsidRPr="00363A79">
        <w:rPr>
          <w:rFonts w:ascii="Arial" w:hAnsi="Arial" w:cs="Arial"/>
          <w:b/>
          <w:caps/>
          <w:sz w:val="22"/>
          <w:szCs w:val="22"/>
        </w:rPr>
        <w:t xml:space="preserve"> par évènement pour les pertes d’exploitation et financières de toute nature.</w:t>
      </w:r>
    </w:p>
    <w:p w:rsidR="00363A79" w:rsidRPr="00226546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>L’ARMATEUR reconnaît expressément que le montant de ces indemnités destinées à indemniser des dommages majeurs est parfaitement raisonnable et adapté à la nature du contrat et à son activité.</w:t>
      </w:r>
    </w:p>
    <w:p w:rsidR="00363A79" w:rsidRDefault="00363A79" w:rsidP="00480C62">
      <w:pPr>
        <w:pStyle w:val="Normal1"/>
        <w:spacing w:before="240" w:after="240"/>
        <w:ind w:left="284" w:right="567"/>
        <w:rPr>
          <w:b/>
        </w:rPr>
      </w:pPr>
      <w:r w:rsidRPr="00226546">
        <w:rPr>
          <w:b/>
        </w:rPr>
        <w:t xml:space="preserve">Les parties </w:t>
      </w:r>
      <w:r>
        <w:rPr>
          <w:b/>
        </w:rPr>
        <w:t xml:space="preserve">et leurs assureurs respectifs </w:t>
      </w:r>
      <w:r w:rsidRPr="00226546">
        <w:rPr>
          <w:b/>
        </w:rPr>
        <w:t xml:space="preserve">renoncent à tout recours l’une contre l’autre au titre des conséquences des dommages corporels qui pourraient survenir à l’occasion de l’exécution du contrat </w:t>
      </w:r>
      <w:r w:rsidR="00480C62">
        <w:rPr>
          <w:b/>
        </w:rPr>
        <w:t xml:space="preserve">de location de la cale de halage, </w:t>
      </w:r>
      <w:r w:rsidRPr="00226546">
        <w:rPr>
          <w:b/>
        </w:rPr>
        <w:t>aux personnes qu’elles emploient directement ou indirectement, sous réserve des droits des intéressés ou de leurs ayants-droits et de ceux des O</w:t>
      </w:r>
      <w:r w:rsidR="00480C62">
        <w:rPr>
          <w:b/>
        </w:rPr>
        <w:t>rganismes de Protection Sociale</w:t>
      </w:r>
      <w:r w:rsidRPr="00226546">
        <w:rPr>
          <w:b/>
        </w:rPr>
        <w:t>.</w:t>
      </w:r>
    </w:p>
    <w:tbl>
      <w:tblPr>
        <w:tblStyle w:val="Grilledutableau"/>
        <w:tblW w:w="0" w:type="auto"/>
        <w:jc w:val="center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81"/>
      </w:tblGrid>
      <w:tr w:rsidR="00480C62" w:rsidTr="00480C62">
        <w:trPr>
          <w:jc w:val="center"/>
        </w:trPr>
        <w:tc>
          <w:tcPr>
            <w:tcW w:w="5173" w:type="dxa"/>
          </w:tcPr>
          <w:p w:rsidR="00480C62" w:rsidRPr="00480C62" w:rsidRDefault="00480C62" w:rsidP="00480C62">
            <w:pPr>
              <w:pStyle w:val="Normal1"/>
              <w:spacing w:after="2200"/>
              <w:ind w:left="0" w:right="567"/>
              <w:jc w:val="center"/>
            </w:pPr>
            <w:r>
              <w:rPr>
                <w:b/>
              </w:rPr>
              <w:t>L’ARMATEUR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:rsidR="00480C62" w:rsidRDefault="00480C62" w:rsidP="00480C62">
            <w:pPr>
              <w:pStyle w:val="Normal1"/>
              <w:spacing w:after="220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CORPS DE NAVIRE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  <w:tr w:rsidR="00480C62" w:rsidTr="00480C62">
        <w:trPr>
          <w:jc w:val="center"/>
        </w:trPr>
        <w:tc>
          <w:tcPr>
            <w:tcW w:w="5173" w:type="dxa"/>
          </w:tcPr>
          <w:p w:rsidR="00480C62" w:rsidRDefault="00480C62" w:rsidP="00480C62">
            <w:pPr>
              <w:pStyle w:val="Normal1"/>
              <w:spacing w:after="220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 PORT AUTONOME DE PAPEETE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  <w:tc>
          <w:tcPr>
            <w:tcW w:w="5173" w:type="dxa"/>
          </w:tcPr>
          <w:p w:rsidR="00480C62" w:rsidRDefault="00480C62" w:rsidP="00480C62">
            <w:pPr>
              <w:pStyle w:val="Normal1"/>
              <w:spacing w:after="2200"/>
              <w:ind w:left="0" w:right="567"/>
              <w:jc w:val="center"/>
              <w:rPr>
                <w:b/>
              </w:rPr>
            </w:pPr>
            <w:r>
              <w:rPr>
                <w:b/>
              </w:rPr>
              <w:t>LES ASSUREURS RESPONSABILITES DU PORT AUTONOME DE PAPEETE</w:t>
            </w:r>
            <w:r>
              <w:rPr>
                <w:b/>
              </w:rPr>
              <w:br/>
            </w:r>
            <w:r w:rsidRPr="00480C62">
              <w:rPr>
                <w:sz w:val="18"/>
                <w:szCs w:val="18"/>
              </w:rPr>
              <w:t>Signature et cachet commercial</w:t>
            </w:r>
            <w:r w:rsidRPr="00480C62">
              <w:rPr>
                <w:sz w:val="18"/>
                <w:szCs w:val="18"/>
              </w:rPr>
              <w:br/>
              <w:t>précédés de la mention « Lu et approuvé »</w:t>
            </w:r>
          </w:p>
        </w:tc>
      </w:tr>
    </w:tbl>
    <w:p w:rsidR="00480C62" w:rsidRPr="00480C62" w:rsidRDefault="00480C62" w:rsidP="00480C62">
      <w:pPr>
        <w:pStyle w:val="Normal1"/>
        <w:spacing w:before="240" w:after="240"/>
        <w:ind w:left="284" w:right="567"/>
        <w:rPr>
          <w:b/>
          <w:sz w:val="8"/>
          <w:szCs w:val="8"/>
        </w:rPr>
      </w:pPr>
    </w:p>
    <w:sectPr w:rsidR="00480C62" w:rsidRPr="00480C62" w:rsidSect="00480C62">
      <w:headerReference w:type="default" r:id="rId8"/>
      <w:footerReference w:type="default" r:id="rId9"/>
      <w:pgSz w:w="11906" w:h="16838"/>
      <w:pgMar w:top="2127" w:right="991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9F6" w:rsidRDefault="001259F6">
      <w:r>
        <w:separator/>
      </w:r>
    </w:p>
  </w:endnote>
  <w:endnote w:type="continuationSeparator" w:id="0">
    <w:p w:rsidR="001259F6" w:rsidRDefault="00125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08" w:type="dxa"/>
      <w:tblLook w:val="01E0" w:firstRow="1" w:lastRow="1" w:firstColumn="1" w:lastColumn="1" w:noHBand="0" w:noVBand="0"/>
    </w:tblPr>
    <w:tblGrid>
      <w:gridCol w:w="2127"/>
      <w:gridCol w:w="6804"/>
      <w:gridCol w:w="1417"/>
    </w:tblGrid>
    <w:tr w:rsidR="00D51AFA" w:rsidRPr="00D51AFA" w:rsidTr="00137CE6">
      <w:trPr>
        <w:trHeight w:val="844"/>
      </w:trPr>
      <w:tc>
        <w:tcPr>
          <w:tcW w:w="2127" w:type="dxa"/>
          <w:shd w:val="clear" w:color="auto" w:fill="auto"/>
          <w:vAlign w:val="center"/>
        </w:tcPr>
        <w:p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="00D51AFA" w:rsidRPr="00D51AFA" w:rsidRDefault="00D51AFA" w:rsidP="00363A79">
          <w:pPr>
            <w:pStyle w:val="Pieddepage"/>
            <w:jc w:val="center"/>
            <w:rPr>
              <w:rFonts w:ascii="Arial" w:hAnsi="Arial" w:cs="Arial"/>
              <w:sz w:val="18"/>
              <w:szCs w:val="18"/>
            </w:rPr>
          </w:pPr>
          <w:r w:rsidRPr="00D51AFA">
            <w:rPr>
              <w:rFonts w:ascii="Arial" w:hAnsi="Arial" w:cs="Arial"/>
              <w:sz w:val="18"/>
              <w:szCs w:val="18"/>
            </w:rPr>
            <w:t>BP 9</w:t>
          </w:r>
          <w:r w:rsidR="00363A79">
            <w:rPr>
              <w:rFonts w:ascii="Arial" w:hAnsi="Arial" w:cs="Arial"/>
              <w:sz w:val="18"/>
              <w:szCs w:val="18"/>
            </w:rPr>
            <w:t> </w:t>
          </w:r>
          <w:r w:rsidRPr="00D51AFA">
            <w:rPr>
              <w:rFonts w:ascii="Arial" w:hAnsi="Arial" w:cs="Arial"/>
              <w:sz w:val="18"/>
              <w:szCs w:val="18"/>
            </w:rPr>
            <w:t>164 – Motu Uta – 98</w:t>
          </w:r>
          <w:r w:rsidR="00AD7AA4">
            <w:rPr>
              <w:rFonts w:ascii="Arial" w:hAnsi="Arial" w:cs="Arial"/>
              <w:sz w:val="18"/>
              <w:szCs w:val="18"/>
            </w:rPr>
            <w:t> </w:t>
          </w:r>
          <w:r w:rsidRPr="00D51AFA">
            <w:rPr>
              <w:rFonts w:ascii="Arial" w:hAnsi="Arial" w:cs="Arial"/>
              <w:sz w:val="18"/>
              <w:szCs w:val="18"/>
            </w:rPr>
            <w:t>715 Papeete – Tahiti – Polynésie française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N° Tahiti : 2725 - Tél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 xml:space="preserve">47 48 00 Fax : (689) </w:t>
          </w:r>
          <w:r w:rsidR="00AD7AA4">
            <w:rPr>
              <w:rFonts w:ascii="Arial" w:hAnsi="Arial" w:cs="Arial"/>
              <w:sz w:val="18"/>
              <w:szCs w:val="18"/>
            </w:rPr>
            <w:t xml:space="preserve">40 </w:t>
          </w:r>
          <w:r w:rsidRPr="00D51AFA">
            <w:rPr>
              <w:rFonts w:ascii="Arial" w:hAnsi="Arial" w:cs="Arial"/>
              <w:sz w:val="18"/>
              <w:szCs w:val="18"/>
            </w:rPr>
            <w:t>42 19 50</w:t>
          </w:r>
          <w:r w:rsidRPr="00D51AFA">
            <w:rPr>
              <w:rFonts w:ascii="Arial" w:hAnsi="Arial" w:cs="Arial"/>
              <w:sz w:val="18"/>
              <w:szCs w:val="18"/>
            </w:rPr>
            <w:br/>
            <w:t xml:space="preserve">Email : </w:t>
          </w:r>
          <w:hyperlink r:id="rId1" w:history="1">
            <w:r w:rsidR="00AD7AA4" w:rsidRPr="00C32AD4">
              <w:rPr>
                <w:rStyle w:val="Lienhypertexte"/>
                <w:rFonts w:ascii="Arial" w:hAnsi="Arial" w:cs="Arial"/>
                <w:sz w:val="18"/>
                <w:szCs w:val="18"/>
              </w:rPr>
              <w:t>direction@portppt.pf</w:t>
            </w:r>
          </w:hyperlink>
          <w:r w:rsidRPr="00D51AFA">
            <w:rPr>
              <w:rFonts w:ascii="Arial" w:hAnsi="Arial" w:cs="Arial"/>
              <w:sz w:val="18"/>
              <w:szCs w:val="18"/>
            </w:rPr>
            <w:t xml:space="preserve"> - Site internet : </w:t>
          </w:r>
          <w:hyperlink r:id="rId2" w:history="1">
            <w:r w:rsidRPr="00D51AFA">
              <w:rPr>
                <w:rStyle w:val="Lienhypertexte"/>
                <w:rFonts w:ascii="Arial" w:hAnsi="Arial" w:cs="Arial"/>
                <w:sz w:val="18"/>
                <w:szCs w:val="18"/>
              </w:rPr>
              <w:t>www.portdepapeete.pf</w:t>
            </w:r>
          </w:hyperlink>
        </w:p>
      </w:tc>
      <w:tc>
        <w:tcPr>
          <w:tcW w:w="1417" w:type="dxa"/>
          <w:shd w:val="clear" w:color="auto" w:fill="auto"/>
          <w:vAlign w:val="center"/>
        </w:tcPr>
        <w:p w:rsidR="00D51AFA" w:rsidRPr="00D51AFA" w:rsidRDefault="00D51AFA" w:rsidP="00D51AFA">
          <w:pPr>
            <w:pStyle w:val="Pieddepage"/>
            <w:jc w:val="right"/>
            <w:rPr>
              <w:rFonts w:ascii="Arial" w:hAnsi="Arial" w:cs="Arial"/>
              <w:sz w:val="22"/>
              <w:szCs w:val="22"/>
            </w:rPr>
          </w:pPr>
          <w:r w:rsidRPr="00D51AFA">
            <w:rPr>
              <w:rFonts w:ascii="Arial" w:hAnsi="Arial" w:cs="Arial"/>
              <w:sz w:val="22"/>
              <w:szCs w:val="22"/>
            </w:rPr>
            <w:t xml:space="preserve">Page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52746E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  <w:r w:rsidRPr="00D51AFA">
            <w:rPr>
              <w:rFonts w:ascii="Arial" w:hAnsi="Arial" w:cs="Arial"/>
              <w:sz w:val="22"/>
              <w:szCs w:val="22"/>
            </w:rPr>
            <w:t xml:space="preserve"> / </w:t>
          </w:r>
          <w:r w:rsidRPr="00D51AFA">
            <w:rPr>
              <w:rFonts w:ascii="Arial" w:hAnsi="Arial" w:cs="Arial"/>
              <w:sz w:val="22"/>
              <w:szCs w:val="22"/>
            </w:rPr>
            <w:fldChar w:fldCharType="begin"/>
          </w:r>
          <w:r w:rsidRPr="00D51AFA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D51AFA">
            <w:rPr>
              <w:rFonts w:ascii="Arial" w:hAnsi="Arial" w:cs="Arial"/>
              <w:sz w:val="22"/>
              <w:szCs w:val="22"/>
            </w:rPr>
            <w:fldChar w:fldCharType="separate"/>
          </w:r>
          <w:r w:rsidR="0052746E">
            <w:rPr>
              <w:rFonts w:ascii="Arial" w:hAnsi="Arial" w:cs="Arial"/>
              <w:noProof/>
              <w:sz w:val="22"/>
              <w:szCs w:val="22"/>
            </w:rPr>
            <w:t>1</w:t>
          </w:r>
          <w:r w:rsidRPr="00D51AFA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</w:tbl>
  <w:p w:rsidR="00975101" w:rsidRPr="00D51AFA" w:rsidRDefault="00975101" w:rsidP="00D51AFA">
    <w:pPr>
      <w:pStyle w:val="Pieddepage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9F6" w:rsidRDefault="001259F6">
      <w:r>
        <w:separator/>
      </w:r>
    </w:p>
  </w:footnote>
  <w:footnote w:type="continuationSeparator" w:id="0">
    <w:p w:rsidR="001259F6" w:rsidRDefault="00125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Ind w:w="108" w:type="dxa"/>
      <w:tblLook w:val="01E0" w:firstRow="1" w:lastRow="1" w:firstColumn="1" w:lastColumn="1" w:noHBand="0" w:noVBand="0"/>
    </w:tblPr>
    <w:tblGrid>
      <w:gridCol w:w="2835"/>
      <w:gridCol w:w="6096"/>
      <w:gridCol w:w="1559"/>
    </w:tblGrid>
    <w:tr w:rsidR="00975101" w:rsidTr="00363A79">
      <w:trPr>
        <w:jc w:val="center"/>
      </w:trPr>
      <w:tc>
        <w:tcPr>
          <w:tcW w:w="2835" w:type="dxa"/>
          <w:vAlign w:val="center"/>
        </w:tcPr>
        <w:p w:rsidR="00975101" w:rsidRPr="00C655BB" w:rsidRDefault="00AC18CD" w:rsidP="0092129F">
          <w:pPr>
            <w:ind w:left="-108"/>
            <w:jc w:val="center"/>
            <w:rPr>
              <w:rFonts w:ascii="Arial" w:hAnsi="Arial" w:cs="Arial"/>
              <w:noProof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372BC54" wp14:editId="33AF9D56">
                <wp:extent cx="1666875" cy="495300"/>
                <wp:effectExtent l="0" t="0" r="9525" b="0"/>
                <wp:docPr id="1" name="Image 1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6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Annexe n°</w:t>
          </w:r>
          <w:r w:rsidR="00363A79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>5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t xml:space="preserve"> F13.03</w:t>
          </w:r>
          <w:r w:rsidRPr="001E6D1A"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  <w:br/>
            <w:t>Demande d’autorisation de montée sur la cale de halge</w:t>
          </w:r>
        </w:p>
        <w:p w:rsidR="001E6D1A" w:rsidRPr="001E6D1A" w:rsidRDefault="001E6D1A" w:rsidP="0092129F">
          <w:pPr>
            <w:jc w:val="center"/>
            <w:rPr>
              <w:rFonts w:ascii="Arial" w:hAnsi="Arial" w:cs="Arial"/>
              <w:b/>
              <w:color w:val="0000FF"/>
              <w:sz w:val="22"/>
              <w:szCs w:val="22"/>
              <w:u w:val="single"/>
            </w:rPr>
          </w:pPr>
        </w:p>
        <w:p w:rsidR="00975101" w:rsidRPr="00363A79" w:rsidRDefault="00363A79" w:rsidP="00363A79">
          <w:pPr>
            <w:jc w:val="center"/>
            <w:rPr>
              <w:rFonts w:ascii="Arial" w:hAnsi="Arial" w:cs="Arial"/>
              <w:b/>
              <w:caps/>
              <w:color w:val="0000FF"/>
            </w:rPr>
          </w:pPr>
          <w:r w:rsidRPr="00363A79">
            <w:rPr>
              <w:rFonts w:ascii="Arial" w:hAnsi="Arial" w:cs="Arial"/>
              <w:b/>
              <w:caps/>
              <w:color w:val="0000FF"/>
            </w:rPr>
            <w:t>Clause de limitation d’indemnités et de renonciation à recours réciproque</w:t>
          </w:r>
        </w:p>
      </w:tc>
      <w:tc>
        <w:tcPr>
          <w:tcW w:w="1559" w:type="dxa"/>
          <w:vAlign w:val="center"/>
        </w:tcPr>
        <w:p w:rsidR="00975101" w:rsidRPr="00C655BB" w:rsidRDefault="00975101" w:rsidP="0092129F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 w:rsidRPr="00C655BB">
            <w:rPr>
              <w:rFonts w:ascii="Arial" w:hAnsi="Arial" w:cs="Arial"/>
              <w:b/>
              <w:color w:val="0000FF"/>
              <w:sz w:val="16"/>
              <w:szCs w:val="16"/>
            </w:rPr>
            <w:t>F13.</w:t>
          </w:r>
          <w:r w:rsidR="00363A79">
            <w:rPr>
              <w:rFonts w:ascii="Arial" w:hAnsi="Arial" w:cs="Arial"/>
              <w:b/>
              <w:color w:val="0000FF"/>
              <w:sz w:val="16"/>
              <w:szCs w:val="16"/>
            </w:rPr>
            <w:t>10</w:t>
          </w:r>
        </w:p>
        <w:p w:rsidR="001A66B7" w:rsidRPr="001A66B7" w:rsidRDefault="00AD7AA4" w:rsidP="001A66B7">
          <w:pPr>
            <w:jc w:val="right"/>
            <w:rPr>
              <w:rFonts w:ascii="Arial" w:hAnsi="Arial" w:cs="Arial"/>
              <w:b/>
              <w:color w:val="0000FF"/>
              <w:sz w:val="16"/>
              <w:szCs w:val="16"/>
            </w:rPr>
          </w:pPr>
          <w:r>
            <w:rPr>
              <w:rFonts w:ascii="Arial" w:hAnsi="Arial" w:cs="Arial"/>
              <w:b/>
              <w:color w:val="0000FF"/>
              <w:sz w:val="16"/>
              <w:szCs w:val="16"/>
            </w:rPr>
            <w:t>Ind.</w:t>
          </w:r>
          <w:r w:rsidR="00363A79">
            <w:rPr>
              <w:rFonts w:ascii="Arial" w:hAnsi="Arial" w:cs="Arial"/>
              <w:b/>
              <w:color w:val="0000FF"/>
              <w:sz w:val="16"/>
              <w:szCs w:val="16"/>
            </w:rPr>
            <w:t>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 xml:space="preserve"> - 24</w:t>
          </w:r>
          <w:r w:rsidR="00975101">
            <w:rPr>
              <w:rFonts w:ascii="Arial" w:hAnsi="Arial" w:cs="Arial"/>
              <w:b/>
              <w:color w:val="0000FF"/>
              <w:sz w:val="16"/>
              <w:szCs w:val="16"/>
            </w:rPr>
            <w:t>/0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6</w:t>
          </w:r>
          <w:r w:rsidR="00975101">
            <w:rPr>
              <w:rFonts w:ascii="Arial" w:hAnsi="Arial" w:cs="Arial"/>
              <w:b/>
              <w:color w:val="0000FF"/>
              <w:sz w:val="16"/>
              <w:szCs w:val="16"/>
            </w:rPr>
            <w:t>/201</w:t>
          </w:r>
          <w:r>
            <w:rPr>
              <w:rFonts w:ascii="Arial" w:hAnsi="Arial" w:cs="Arial"/>
              <w:b/>
              <w:color w:val="0000FF"/>
              <w:sz w:val="16"/>
              <w:szCs w:val="16"/>
            </w:rPr>
            <w:t>5</w:t>
          </w:r>
        </w:p>
      </w:tc>
    </w:tr>
  </w:tbl>
  <w:p w:rsidR="00975101" w:rsidRPr="00977CEB" w:rsidRDefault="00975101" w:rsidP="00E85286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BC5"/>
    <w:multiLevelType w:val="hybridMultilevel"/>
    <w:tmpl w:val="091E1C14"/>
    <w:lvl w:ilvl="0" w:tplc="F45610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C8D3CBD"/>
    <w:multiLevelType w:val="hybridMultilevel"/>
    <w:tmpl w:val="FE1E8D8E"/>
    <w:lvl w:ilvl="0" w:tplc="28E43A4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A88545F"/>
    <w:multiLevelType w:val="hybridMultilevel"/>
    <w:tmpl w:val="D51AF732"/>
    <w:lvl w:ilvl="0" w:tplc="87B82048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hhhDMecHc0bB6SbMqRdypB+285A=" w:salt="YxtmEWJ6PjlbEAO6rzV/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B"/>
    <w:rsid w:val="00037888"/>
    <w:rsid w:val="00073B7F"/>
    <w:rsid w:val="00075630"/>
    <w:rsid w:val="000C2A52"/>
    <w:rsid w:val="000C4205"/>
    <w:rsid w:val="000E739B"/>
    <w:rsid w:val="000E7E2C"/>
    <w:rsid w:val="00123875"/>
    <w:rsid w:val="001259F6"/>
    <w:rsid w:val="00166562"/>
    <w:rsid w:val="00176073"/>
    <w:rsid w:val="00186F3F"/>
    <w:rsid w:val="001A616D"/>
    <w:rsid w:val="001A66B7"/>
    <w:rsid w:val="001B76D4"/>
    <w:rsid w:val="001E6D1A"/>
    <w:rsid w:val="001F6979"/>
    <w:rsid w:val="00215ABB"/>
    <w:rsid w:val="00223331"/>
    <w:rsid w:val="002C2B79"/>
    <w:rsid w:val="00312E8A"/>
    <w:rsid w:val="00363A79"/>
    <w:rsid w:val="00376F49"/>
    <w:rsid w:val="003B4CDD"/>
    <w:rsid w:val="003B5F0C"/>
    <w:rsid w:val="00414E5B"/>
    <w:rsid w:val="004568D9"/>
    <w:rsid w:val="00460420"/>
    <w:rsid w:val="00480C62"/>
    <w:rsid w:val="00484E50"/>
    <w:rsid w:val="004B2446"/>
    <w:rsid w:val="004C133B"/>
    <w:rsid w:val="0050120D"/>
    <w:rsid w:val="0052746E"/>
    <w:rsid w:val="00532E4F"/>
    <w:rsid w:val="00562F67"/>
    <w:rsid w:val="005A35CD"/>
    <w:rsid w:val="005A3CAA"/>
    <w:rsid w:val="005A6B45"/>
    <w:rsid w:val="005E1271"/>
    <w:rsid w:val="00614D20"/>
    <w:rsid w:val="006511EB"/>
    <w:rsid w:val="006F18B5"/>
    <w:rsid w:val="00704E2B"/>
    <w:rsid w:val="007653B4"/>
    <w:rsid w:val="007949A3"/>
    <w:rsid w:val="007B26B0"/>
    <w:rsid w:val="007D3C19"/>
    <w:rsid w:val="0082775C"/>
    <w:rsid w:val="00833C32"/>
    <w:rsid w:val="00862696"/>
    <w:rsid w:val="008A1CF8"/>
    <w:rsid w:val="008B3830"/>
    <w:rsid w:val="0092129F"/>
    <w:rsid w:val="00923066"/>
    <w:rsid w:val="00944D66"/>
    <w:rsid w:val="0095417B"/>
    <w:rsid w:val="00975101"/>
    <w:rsid w:val="00977CEB"/>
    <w:rsid w:val="009B6C31"/>
    <w:rsid w:val="009D4730"/>
    <w:rsid w:val="009D7336"/>
    <w:rsid w:val="00A00D96"/>
    <w:rsid w:val="00A16B7C"/>
    <w:rsid w:val="00A37585"/>
    <w:rsid w:val="00A621E4"/>
    <w:rsid w:val="00A91F3D"/>
    <w:rsid w:val="00AC18CD"/>
    <w:rsid w:val="00AD6285"/>
    <w:rsid w:val="00AD7AA4"/>
    <w:rsid w:val="00B122C5"/>
    <w:rsid w:val="00B5471F"/>
    <w:rsid w:val="00B90DD6"/>
    <w:rsid w:val="00B97F84"/>
    <w:rsid w:val="00C40383"/>
    <w:rsid w:val="00CC0040"/>
    <w:rsid w:val="00CF5108"/>
    <w:rsid w:val="00D22430"/>
    <w:rsid w:val="00D51AFA"/>
    <w:rsid w:val="00DA713D"/>
    <w:rsid w:val="00DC7231"/>
    <w:rsid w:val="00DD06C6"/>
    <w:rsid w:val="00E52DEF"/>
    <w:rsid w:val="00E85286"/>
    <w:rsid w:val="00F2263E"/>
    <w:rsid w:val="00F93120"/>
    <w:rsid w:val="00FD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styleId="Lienhypertexte">
    <w:name w:val="Hyperlink"/>
    <w:basedOn w:val="Policepardfaut"/>
    <w:rsid w:val="00D51AFA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363A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63A79"/>
    <w:rPr>
      <w:sz w:val="24"/>
      <w:szCs w:val="24"/>
    </w:rPr>
  </w:style>
  <w:style w:type="paragraph" w:customStyle="1" w:styleId="Normal1">
    <w:name w:val="Normal 1"/>
    <w:basedOn w:val="Normal"/>
    <w:link w:val="Normal1Car"/>
    <w:qFormat/>
    <w:rsid w:val="00363A79"/>
    <w:pPr>
      <w:spacing w:before="120" w:after="120"/>
      <w:ind w:left="142" w:right="425"/>
      <w:jc w:val="both"/>
    </w:pPr>
    <w:rPr>
      <w:rFonts w:ascii="Arial" w:hAnsi="Arial" w:cs="Arial"/>
      <w:sz w:val="22"/>
      <w:szCs w:val="22"/>
    </w:rPr>
  </w:style>
  <w:style w:type="character" w:customStyle="1" w:styleId="Normal1Car">
    <w:name w:val="Normal 1 Car"/>
    <w:basedOn w:val="Policepardfaut"/>
    <w:link w:val="Normal1"/>
    <w:rsid w:val="00363A79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33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C1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758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8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E85286"/>
    <w:rPr>
      <w:sz w:val="20"/>
      <w:szCs w:val="20"/>
    </w:rPr>
  </w:style>
  <w:style w:type="character" w:styleId="Appelnotedebasdep">
    <w:name w:val="footnote reference"/>
    <w:basedOn w:val="Policepardfaut"/>
    <w:semiHidden/>
    <w:rsid w:val="00E85286"/>
    <w:rPr>
      <w:vertAlign w:val="superscript"/>
    </w:rPr>
  </w:style>
  <w:style w:type="character" w:styleId="Numrodepage">
    <w:name w:val="page number"/>
    <w:basedOn w:val="Policepardfaut"/>
    <w:rsid w:val="007D3C19"/>
  </w:style>
  <w:style w:type="character" w:customStyle="1" w:styleId="En-tteCar">
    <w:name w:val="En-tête Car"/>
    <w:link w:val="En-tte"/>
    <w:rsid w:val="008B3830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1E6D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E6D1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977CEB"/>
    <w:rPr>
      <w:sz w:val="32"/>
    </w:rPr>
  </w:style>
  <w:style w:type="character" w:customStyle="1" w:styleId="CorpsdetexteCar">
    <w:name w:val="Corps de texte Car"/>
    <w:basedOn w:val="Policepardfaut"/>
    <w:link w:val="Corpsdetexte"/>
    <w:rsid w:val="00977CEB"/>
    <w:rPr>
      <w:sz w:val="32"/>
      <w:szCs w:val="24"/>
    </w:rPr>
  </w:style>
  <w:style w:type="character" w:styleId="Lienhypertexte">
    <w:name w:val="Hyperlink"/>
    <w:basedOn w:val="Policepardfaut"/>
    <w:rsid w:val="00D51AFA"/>
    <w:rPr>
      <w:color w:val="0000FF" w:themeColor="hyperlink"/>
      <w:u w:val="single"/>
    </w:rPr>
  </w:style>
  <w:style w:type="paragraph" w:styleId="Retraitcorpsdetexte">
    <w:name w:val="Body Text Indent"/>
    <w:basedOn w:val="Normal"/>
    <w:link w:val="RetraitcorpsdetexteCar"/>
    <w:rsid w:val="00363A7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63A79"/>
    <w:rPr>
      <w:sz w:val="24"/>
      <w:szCs w:val="24"/>
    </w:rPr>
  </w:style>
  <w:style w:type="paragraph" w:customStyle="1" w:styleId="Normal1">
    <w:name w:val="Normal 1"/>
    <w:basedOn w:val="Normal"/>
    <w:link w:val="Normal1Car"/>
    <w:qFormat/>
    <w:rsid w:val="00363A79"/>
    <w:pPr>
      <w:spacing w:before="120" w:after="120"/>
      <w:ind w:left="142" w:right="425"/>
      <w:jc w:val="both"/>
    </w:pPr>
    <w:rPr>
      <w:rFonts w:ascii="Arial" w:hAnsi="Arial" w:cs="Arial"/>
      <w:sz w:val="22"/>
      <w:szCs w:val="22"/>
    </w:rPr>
  </w:style>
  <w:style w:type="character" w:customStyle="1" w:styleId="Normal1Car">
    <w:name w:val="Normal 1 Car"/>
    <w:basedOn w:val="Policepardfaut"/>
    <w:link w:val="Normal1"/>
    <w:rsid w:val="00363A79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2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rtdepapeete.pf" TargetMode="External"/><Relationship Id="rId1" Type="http://schemas.openxmlformats.org/officeDocument/2006/relationships/hyperlink" Target="mailto:direction@portppt.p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F13.10</vt:lpstr>
    </vt:vector>
  </TitlesOfParts>
  <Company>PORT AUTONOME DE PAPEETE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F13.10</dc:title>
  <dc:subject>Clause de limitation d'indemnités et de renonciation à recours réciproque - Annexe n°5 F13.03</dc:subject>
  <dc:creator>RQ</dc:creator>
  <cp:lastModifiedBy>Jean-Claude Fortez</cp:lastModifiedBy>
  <cp:revision>3</cp:revision>
  <cp:lastPrinted>2015-11-23T22:37:00Z</cp:lastPrinted>
  <dcterms:created xsi:type="dcterms:W3CDTF">2015-06-24T22:55:00Z</dcterms:created>
  <dcterms:modified xsi:type="dcterms:W3CDTF">2015-11-23T22:37:00Z</dcterms:modified>
  <cp:category>Processus de réalisation</cp:category>
</cp:coreProperties>
</file>