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1134"/>
        <w:gridCol w:w="985"/>
        <w:gridCol w:w="374"/>
        <w:gridCol w:w="474"/>
        <w:gridCol w:w="10"/>
        <w:gridCol w:w="974"/>
        <w:gridCol w:w="585"/>
        <w:gridCol w:w="993"/>
        <w:gridCol w:w="303"/>
        <w:gridCol w:w="1085"/>
        <w:gridCol w:w="3574"/>
      </w:tblGrid>
      <w:tr w:rsidR="005E68EF" w:rsidTr="003E5C9A">
        <w:trPr>
          <w:trHeight w:val="28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/>
                <w:b/>
              </w:rPr>
              <w:t xml:space="preserve">DATE : </w:t>
            </w:r>
            <w:r w:rsidRPr="003E5C9A">
              <w:rPr>
                <w:rFonts w:ascii="Arial" w:hAnsi="Arial"/>
                <w:b/>
              </w:rPr>
              <w:fldChar w:fldCharType="begin"/>
            </w:r>
            <w:r w:rsidRPr="003E5C9A">
              <w:rPr>
                <w:rFonts w:ascii="Arial" w:hAnsi="Arial"/>
                <w:b/>
              </w:rPr>
              <w:instrText xml:space="preserve"> DATE \@ "dd MMMM yyyy" </w:instrText>
            </w:r>
            <w:r w:rsidRPr="003E5C9A">
              <w:rPr>
                <w:rFonts w:ascii="Arial" w:hAnsi="Arial"/>
                <w:b/>
              </w:rPr>
              <w:fldChar w:fldCharType="separate"/>
            </w:r>
            <w:r w:rsidR="00950743">
              <w:rPr>
                <w:rFonts w:ascii="Arial" w:hAnsi="Arial"/>
                <w:b/>
                <w:noProof/>
              </w:rPr>
              <w:t>24 juillet 2015</w:t>
            </w:r>
            <w:r w:rsidRPr="003E5C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166D6" w:rsidRDefault="005E68EF" w:rsidP="00761A0C">
            <w:pPr>
              <w:rPr>
                <w:b/>
              </w:rPr>
            </w:pPr>
            <w:r w:rsidRPr="003E5C9A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3E5C9A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3E5C9A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3E5C9A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316C3D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3E5C9A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5E68EF" w:rsidTr="003E5C9A">
        <w:trPr>
          <w:trHeight w:val="28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jc w:val="center"/>
              <w:rPr>
                <w:noProof/>
                <w:sz w:val="16"/>
              </w:rPr>
            </w:pPr>
            <w:r w:rsidRPr="003E5C9A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166D6" w:rsidRDefault="003166D6" w:rsidP="003166D6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5E68EF" w:rsidRPr="003E5C9A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1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 w:rsidR="005E68EF" w:rsidRPr="003E5C9A">
              <w:rPr>
                <w:rFonts w:ascii="Arial" w:hAnsi="Arial"/>
                <w:b/>
              </w:rPr>
              <w:t xml:space="preserve"> 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2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5E68EF" w:rsidRPr="003E5C9A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5E68EF" w:rsidTr="003E5C9A">
        <w:trPr>
          <w:trHeight w:val="28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jc w:val="center"/>
              <w:rPr>
                <w:noProof/>
                <w:sz w:val="16"/>
              </w:rPr>
            </w:pPr>
            <w:r w:rsidRPr="003E5C9A">
              <w:rPr>
                <w:rFonts w:ascii="Arial" w:hAnsi="Arial"/>
                <w:b/>
              </w:rPr>
              <w:t>DESTINATAIRE :</w:t>
            </w:r>
          </w:p>
        </w:tc>
        <w:bookmarkStart w:id="4" w:name="Texte9"/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166D6" w:rsidRDefault="000D398A" w:rsidP="003E5C9A">
            <w:pPr>
              <w:jc w:val="center"/>
              <w:rPr>
                <w:b/>
              </w:rPr>
            </w:pPr>
            <w:r w:rsidRPr="003166D6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166D6">
              <w:rPr>
                <w:b/>
              </w:rPr>
              <w:instrText xml:space="preserve"> FORMTEXT </w:instrText>
            </w:r>
            <w:r w:rsidRPr="003166D6">
              <w:rPr>
                <w:b/>
              </w:rPr>
            </w:r>
            <w:r w:rsidRPr="003166D6">
              <w:rPr>
                <w:b/>
              </w:rPr>
              <w:fldChar w:fldCharType="separate"/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</w:rPr>
              <w:fldChar w:fldCharType="end"/>
            </w:r>
            <w:bookmarkEnd w:id="4"/>
          </w:p>
        </w:tc>
      </w:tr>
      <w:tr w:rsidR="005E68EF" w:rsidTr="003E5C9A">
        <w:trPr>
          <w:trHeight w:val="28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jc w:val="center"/>
              <w:rPr>
                <w:noProof/>
                <w:sz w:val="16"/>
              </w:rPr>
            </w:pPr>
            <w:r w:rsidRPr="003E5C9A">
              <w:rPr>
                <w:rFonts w:ascii="Arial" w:hAnsi="Arial"/>
                <w:b/>
              </w:rPr>
              <w:t>FAX :</w:t>
            </w:r>
          </w:p>
        </w:tc>
        <w:bookmarkStart w:id="5" w:name="Texte10"/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EF" w:rsidRPr="003166D6" w:rsidRDefault="000D398A" w:rsidP="003E5C9A">
            <w:pPr>
              <w:jc w:val="center"/>
              <w:rPr>
                <w:b/>
              </w:rPr>
            </w:pPr>
            <w:r w:rsidRPr="003166D6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166D6">
              <w:rPr>
                <w:b/>
              </w:rPr>
              <w:instrText xml:space="preserve"> FORMTEXT </w:instrText>
            </w:r>
            <w:r w:rsidRPr="003166D6">
              <w:rPr>
                <w:b/>
              </w:rPr>
            </w:r>
            <w:r w:rsidRPr="003166D6">
              <w:rPr>
                <w:b/>
              </w:rPr>
              <w:fldChar w:fldCharType="separate"/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  <w:noProof/>
              </w:rPr>
              <w:t> </w:t>
            </w:r>
            <w:r w:rsidRPr="003166D6">
              <w:rPr>
                <w:b/>
              </w:rPr>
              <w:fldChar w:fldCharType="end"/>
            </w:r>
            <w:bookmarkEnd w:id="5"/>
          </w:p>
        </w:tc>
      </w:tr>
      <w:tr w:rsidR="0010657F" w:rsidRPr="003E5C9A" w:rsidTr="00817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57F" w:rsidRPr="003E5C9A" w:rsidRDefault="0010657F" w:rsidP="003E5C9A">
            <w:pPr>
              <w:spacing w:before="240"/>
              <w:ind w:right="-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Société</w:t>
            </w:r>
            <w:r w:rsidRPr="003E5C9A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93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57F" w:rsidRPr="003E5C9A" w:rsidRDefault="0010657F" w:rsidP="000D398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3E5C9A" w:rsidRPr="003E5C9A" w:rsidTr="003E5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ind w:right="-38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7" w:name="Texte2"/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5E68EF" w:rsidRPr="003E5C9A">
              <w:rPr>
                <w:rFonts w:ascii="Arial" w:hAnsi="Arial" w:cs="Arial"/>
              </w:rPr>
              <w:t xml:space="preserve"> / </w:t>
            </w:r>
            <w:bookmarkStart w:id="8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5E68EF" w:rsidRPr="003E5C9A">
              <w:rPr>
                <w:rFonts w:ascii="Arial" w:hAnsi="Arial" w:cs="Arial"/>
              </w:rPr>
              <w:t xml:space="preserve"> / </w:t>
            </w:r>
            <w:bookmarkStart w:id="9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ind w:right="-36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0" w:name="Texte5"/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3E5C9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3E5C9A" w:rsidRPr="003E5C9A" w:rsidTr="003E5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74" w:type="dxa"/>
          <w:trHeight w:hRule="exact" w:val="284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3E5C9A">
            <w:pPr>
              <w:ind w:right="-38"/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Heure :</w:t>
            </w:r>
          </w:p>
        </w:tc>
        <w:bookmarkStart w:id="11" w:name="Texte6"/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5E68EF" w:rsidRPr="003E5C9A">
              <w:rPr>
                <w:rFonts w:ascii="Arial" w:hAnsi="Arial" w:cs="Arial"/>
                <w:b/>
              </w:rPr>
              <w:t xml:space="preserve"> HH </w:t>
            </w:r>
            <w:bookmarkStart w:id="12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5E68EF" w:rsidRPr="003E5C9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3E5C9A" w:rsidRPr="003E5C9A" w:rsidTr="003E5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74" w:type="dxa"/>
          <w:trHeight w:hRule="exact" w:val="284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5E68EF" w:rsidP="00761A0C">
            <w:pPr>
              <w:rPr>
                <w:rFonts w:ascii="Arial" w:hAnsi="Arial" w:cs="Arial"/>
                <w:b/>
              </w:rPr>
            </w:pPr>
            <w:r w:rsidRPr="003E5C9A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EF" w:rsidRPr="003E5C9A" w:rsidRDefault="000D398A" w:rsidP="000D398A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E68EF" w:rsidRPr="003E5C9A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614763" w:rsidRDefault="00614763" w:rsidP="005E68EF">
      <w:pPr>
        <w:spacing w:before="24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</w:t>
      </w:r>
      <w:r w:rsidR="0010657F">
        <w:rPr>
          <w:rFonts w:ascii="Arial" w:hAnsi="Arial" w:cs="Arial"/>
          <w:sz w:val="22"/>
          <w:szCs w:val="22"/>
        </w:rPr>
        <w:t>a</w:t>
      </w:r>
      <w:r w:rsidR="004631B2">
        <w:rPr>
          <w:rFonts w:ascii="Arial" w:hAnsi="Arial" w:cs="Arial"/>
          <w:sz w:val="22"/>
          <w:szCs w:val="22"/>
        </w:rPr>
        <w:t xml:space="preserve"> </w:t>
      </w:r>
      <w:r w:rsidR="00C9099B">
        <w:rPr>
          <w:rFonts w:ascii="Arial" w:hAnsi="Arial" w:cs="Arial"/>
          <w:sz w:val="22"/>
          <w:szCs w:val="22"/>
        </w:rPr>
        <w:t xml:space="preserve">société </w:t>
      </w:r>
      <w:bookmarkStart w:id="13" w:name="Texte11"/>
      <w:r w:rsidR="000D398A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0D398A">
        <w:rPr>
          <w:rFonts w:ascii="Arial" w:hAnsi="Arial" w:cs="Arial"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sz w:val="22"/>
          <w:szCs w:val="22"/>
        </w:rPr>
      </w:r>
      <w:r w:rsidR="000D398A">
        <w:rPr>
          <w:rFonts w:ascii="Arial" w:hAnsi="Arial" w:cs="Arial"/>
          <w:sz w:val="22"/>
          <w:szCs w:val="22"/>
        </w:rPr>
        <w:fldChar w:fldCharType="separate"/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noProof/>
          <w:sz w:val="22"/>
          <w:szCs w:val="22"/>
        </w:rPr>
        <w:t> </w:t>
      </w:r>
      <w:r w:rsidR="000D398A">
        <w:rPr>
          <w:rFonts w:ascii="Arial" w:hAnsi="Arial" w:cs="Arial"/>
          <w:sz w:val="22"/>
          <w:szCs w:val="22"/>
        </w:rPr>
        <w:fldChar w:fldCharType="end"/>
      </w:r>
      <w:bookmarkEnd w:id="13"/>
      <w:r w:rsidR="005E68EF">
        <w:rPr>
          <w:rFonts w:ascii="Arial" w:hAnsi="Arial" w:cs="Arial"/>
          <w:sz w:val="22"/>
          <w:szCs w:val="22"/>
        </w:rPr>
        <w:t xml:space="preserve"> </w:t>
      </w:r>
      <w:r w:rsidR="0010657F">
        <w:rPr>
          <w:rFonts w:ascii="Arial" w:hAnsi="Arial" w:cs="Arial"/>
          <w:sz w:val="22"/>
          <w:szCs w:val="22"/>
        </w:rPr>
        <w:t>e</w:t>
      </w:r>
      <w:r w:rsidRPr="00D167F7">
        <w:rPr>
          <w:rFonts w:ascii="Arial" w:hAnsi="Arial" w:cs="Arial"/>
          <w:sz w:val="22"/>
          <w:szCs w:val="22"/>
        </w:rPr>
        <w:t>st autorisé</w:t>
      </w:r>
      <w:r w:rsidR="00C9099B">
        <w:rPr>
          <w:rFonts w:ascii="Arial" w:hAnsi="Arial" w:cs="Arial"/>
          <w:sz w:val="22"/>
          <w:szCs w:val="22"/>
        </w:rPr>
        <w:t xml:space="preserve">e </w:t>
      </w:r>
      <w:r w:rsidRPr="00D167F7">
        <w:rPr>
          <w:rFonts w:ascii="Arial" w:hAnsi="Arial" w:cs="Arial"/>
          <w:sz w:val="22"/>
          <w:szCs w:val="22"/>
        </w:rPr>
        <w:t xml:space="preserve">à </w:t>
      </w:r>
      <w:r w:rsidR="00C9099B">
        <w:rPr>
          <w:rFonts w:ascii="Arial" w:hAnsi="Arial" w:cs="Arial"/>
          <w:sz w:val="22"/>
          <w:szCs w:val="22"/>
        </w:rPr>
        <w:t xml:space="preserve">effectuer </w:t>
      </w:r>
      <w:r w:rsidR="0010657F">
        <w:rPr>
          <w:rFonts w:ascii="Arial" w:hAnsi="Arial" w:cs="Arial"/>
          <w:b/>
          <w:sz w:val="22"/>
          <w:szCs w:val="22"/>
          <w:u w:val="single"/>
        </w:rPr>
        <w:t>s</w:t>
      </w:r>
      <w:r w:rsidR="004631B2">
        <w:rPr>
          <w:rFonts w:ascii="Arial" w:hAnsi="Arial" w:cs="Arial"/>
          <w:b/>
          <w:sz w:val="22"/>
          <w:szCs w:val="22"/>
          <w:u w:val="single"/>
        </w:rPr>
        <w:t>es</w:t>
      </w:r>
      <w:r w:rsidR="00C9099B" w:rsidRPr="00C9099B">
        <w:rPr>
          <w:rFonts w:ascii="Arial" w:hAnsi="Arial" w:cs="Arial"/>
          <w:b/>
          <w:sz w:val="22"/>
          <w:szCs w:val="22"/>
          <w:u w:val="single"/>
        </w:rPr>
        <w:t xml:space="preserve"> opérations de transfert d’huile</w:t>
      </w:r>
      <w:r w:rsidR="00C9099B">
        <w:rPr>
          <w:rFonts w:ascii="Arial" w:hAnsi="Arial" w:cs="Arial"/>
          <w:sz w:val="22"/>
          <w:szCs w:val="22"/>
        </w:rPr>
        <w:t xml:space="preserve">, </w:t>
      </w:r>
      <w:r w:rsidR="005E68EF">
        <w:rPr>
          <w:rFonts w:ascii="Arial" w:hAnsi="Arial" w:cs="Arial"/>
          <w:sz w:val="22"/>
          <w:szCs w:val="22"/>
        </w:rPr>
        <w:t xml:space="preserve">à l’endroit et aux dates et heures indiquées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3F0C56" w:rsidRPr="00C9099B" w:rsidRDefault="00C9099B" w:rsidP="005E68EF">
      <w:pPr>
        <w:numPr>
          <w:ilvl w:val="0"/>
          <w:numId w:val="13"/>
        </w:numPr>
        <w:tabs>
          <w:tab w:val="clear" w:pos="360"/>
          <w:tab w:val="left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Dispositif de pompage, de transfert par flexibles, de connexion correctement mis en œuvre</w:t>
      </w:r>
    </w:p>
    <w:p w:rsidR="003F0C56" w:rsidRDefault="00C9099B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 immédiat des opérations en cas de fuites sur un point de la chaîne de transfert</w:t>
      </w:r>
    </w:p>
    <w:p w:rsidR="003F0C56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Procédure d’arrêt d’urgence convenue entre les 2 parties (transmetteur, récepteur)</w:t>
      </w:r>
    </w:p>
    <w:p w:rsidR="00D45D94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Couverture des éventuels réceptacles ouverts à envisager en cas de pluie durable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Pas d’opération de soutage par réseau fixe à moins de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Arial" w:hAnsi="Arial" w:cs="Arial"/>
            <w:b/>
            <w:sz w:val="22"/>
            <w:szCs w:val="22"/>
          </w:rPr>
          <w:t>25 m</w:t>
        </w:r>
      </w:smartTag>
      <w:r>
        <w:rPr>
          <w:rFonts w:ascii="Arial" w:hAnsi="Arial" w:cs="Arial"/>
          <w:b/>
          <w:sz w:val="22"/>
          <w:szCs w:val="22"/>
        </w:rPr>
        <w:t xml:space="preserve"> de la citerne réceptrice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 w:rsidRPr="004631B2">
        <w:rPr>
          <w:rFonts w:ascii="Arial" w:hAnsi="Arial" w:cs="Arial"/>
          <w:b/>
          <w:sz w:val="22"/>
          <w:szCs w:val="22"/>
        </w:rPr>
        <w:t>Travaux à chaud interdits en cours de transfert et de soutage</w:t>
      </w:r>
    </w:p>
    <w:p w:rsidR="00D45D94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Tous moyens de sécurité prêts à fonctionner immédiatement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 d’avitaillement en hydrocarbures sur l’un des engins durant chaque opération</w:t>
      </w:r>
    </w:p>
    <w:p w:rsidR="00D45D9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Sécurité assurée par les parties concernées</w:t>
      </w:r>
    </w:p>
    <w:p w:rsidR="00D45D94" w:rsidRPr="00D45D94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d’écoulement, de souille ou de dépôt résiduel pollué, le nettoyage et les remises en état seront à la charge du demandeur de l’opération</w:t>
      </w:r>
    </w:p>
    <w:p w:rsidR="004E0F34" w:rsidRPr="004631B2" w:rsidRDefault="004631B2" w:rsidP="005E68EF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</w:rPr>
      </w:pPr>
      <w:r w:rsidRPr="004631B2">
        <w:rPr>
          <w:rFonts w:ascii="Arial" w:hAnsi="Arial" w:cs="Arial"/>
          <w:b/>
          <w:sz w:val="22"/>
          <w:szCs w:val="22"/>
        </w:rPr>
        <w:t>La voie de circulation  mobilisée pour l’opération devra être dégagée dès que possible</w:t>
      </w:r>
    </w:p>
    <w:p w:rsidR="00614763" w:rsidRPr="007711ED" w:rsidRDefault="00614763" w:rsidP="005E68EF">
      <w:pPr>
        <w:numPr>
          <w:ilvl w:val="0"/>
          <w:numId w:val="17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vigie au </w:t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3166D6" w:rsidRPr="003166D6">
        <w:rPr>
          <w:rFonts w:ascii="Arial" w:hAnsi="Arial" w:cs="Arial"/>
          <w:b/>
          <w:sz w:val="22"/>
          <w:szCs w:val="22"/>
        </w:rPr>
        <w:t>40 </w:t>
      </w:r>
      <w:r w:rsidRPr="003166D6">
        <w:rPr>
          <w:rFonts w:ascii="Arial" w:hAnsi="Arial" w:cs="Arial"/>
          <w:b/>
          <w:sz w:val="22"/>
          <w:szCs w:val="22"/>
        </w:rPr>
        <w:t>42</w:t>
      </w:r>
      <w:r w:rsidR="003166D6" w:rsidRPr="003166D6">
        <w:rPr>
          <w:rFonts w:ascii="Arial" w:hAnsi="Arial" w:cs="Arial"/>
          <w:b/>
          <w:sz w:val="22"/>
          <w:szCs w:val="22"/>
        </w:rPr>
        <w:t> </w:t>
      </w:r>
      <w:r w:rsidRPr="003166D6">
        <w:rPr>
          <w:rFonts w:ascii="Arial" w:hAnsi="Arial" w:cs="Arial"/>
          <w:b/>
          <w:sz w:val="22"/>
          <w:szCs w:val="22"/>
        </w:rPr>
        <w:t>12</w:t>
      </w:r>
      <w:r w:rsidR="003166D6" w:rsidRPr="003166D6">
        <w:rPr>
          <w:rFonts w:ascii="Arial" w:hAnsi="Arial" w:cs="Arial"/>
          <w:b/>
          <w:sz w:val="22"/>
          <w:szCs w:val="22"/>
        </w:rPr>
        <w:t> </w:t>
      </w:r>
      <w:r w:rsidRPr="003166D6">
        <w:rPr>
          <w:rFonts w:ascii="Arial" w:hAnsi="Arial" w:cs="Arial"/>
          <w:b/>
          <w:sz w:val="22"/>
          <w:szCs w:val="22"/>
        </w:rPr>
        <w:t>12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permanence :</w:t>
      </w:r>
      <w:r w:rsidR="00157A4E">
        <w:rPr>
          <w:rFonts w:ascii="Arial" w:hAnsi="Arial" w:cs="Arial"/>
          <w:sz w:val="22"/>
          <w:szCs w:val="22"/>
        </w:rPr>
        <w:tab/>
      </w:r>
      <w:r w:rsidR="003166D6" w:rsidRPr="003166D6">
        <w:rPr>
          <w:rFonts w:ascii="Arial" w:hAnsi="Arial" w:cs="Arial"/>
          <w:b/>
          <w:sz w:val="22"/>
          <w:szCs w:val="22"/>
        </w:rPr>
        <w:t>8</w:t>
      </w:r>
      <w:r w:rsidR="00950743">
        <w:rPr>
          <w:rFonts w:ascii="Arial" w:hAnsi="Arial" w:cs="Arial"/>
          <w:b/>
          <w:sz w:val="22"/>
          <w:szCs w:val="22"/>
        </w:rPr>
        <w:t>9</w:t>
      </w:r>
      <w:r w:rsidR="003166D6" w:rsidRPr="003166D6">
        <w:rPr>
          <w:rFonts w:ascii="Arial" w:hAnsi="Arial" w:cs="Arial"/>
          <w:b/>
          <w:sz w:val="22"/>
          <w:szCs w:val="22"/>
        </w:rPr>
        <w:t> </w:t>
      </w:r>
      <w:r w:rsidRPr="003166D6">
        <w:rPr>
          <w:rFonts w:ascii="Arial" w:hAnsi="Arial" w:cs="Arial"/>
          <w:b/>
          <w:sz w:val="22"/>
          <w:szCs w:val="22"/>
        </w:rPr>
        <w:t>70</w:t>
      </w:r>
      <w:r w:rsidR="003166D6" w:rsidRPr="003166D6">
        <w:rPr>
          <w:rFonts w:ascii="Arial" w:hAnsi="Arial" w:cs="Arial"/>
          <w:b/>
          <w:sz w:val="22"/>
          <w:szCs w:val="22"/>
        </w:rPr>
        <w:t> </w:t>
      </w:r>
      <w:r w:rsidRPr="003166D6">
        <w:rPr>
          <w:rFonts w:ascii="Arial" w:hAnsi="Arial" w:cs="Arial"/>
          <w:b/>
          <w:sz w:val="22"/>
          <w:szCs w:val="22"/>
        </w:rPr>
        <w:t>16</w:t>
      </w:r>
      <w:r w:rsidR="003166D6" w:rsidRPr="003166D6">
        <w:rPr>
          <w:rFonts w:ascii="Arial" w:hAnsi="Arial" w:cs="Arial"/>
          <w:b/>
          <w:sz w:val="22"/>
          <w:szCs w:val="22"/>
        </w:rPr>
        <w:t> </w:t>
      </w:r>
      <w:r w:rsidRPr="003166D6">
        <w:rPr>
          <w:rFonts w:ascii="Arial" w:hAnsi="Arial" w:cs="Arial"/>
          <w:b/>
          <w:sz w:val="22"/>
          <w:szCs w:val="22"/>
        </w:rPr>
        <w:t>33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 w:rsidRPr="007711ED">
        <w:rPr>
          <w:rFonts w:ascii="Arial" w:hAnsi="Arial" w:cs="Arial"/>
          <w:sz w:val="22"/>
          <w:szCs w:val="22"/>
        </w:rPr>
        <w:t>la capitainerie</w:t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3166D6" w:rsidRPr="003166D6">
        <w:rPr>
          <w:rFonts w:ascii="Arial" w:hAnsi="Arial" w:cs="Arial"/>
          <w:b/>
          <w:sz w:val="22"/>
          <w:szCs w:val="22"/>
        </w:rPr>
        <w:t>40 </w:t>
      </w:r>
      <w:r w:rsidRPr="003166D6">
        <w:rPr>
          <w:rFonts w:ascii="Arial" w:hAnsi="Arial" w:cs="Arial"/>
          <w:b/>
          <w:sz w:val="22"/>
          <w:szCs w:val="22"/>
        </w:rPr>
        <w:t>47</w:t>
      </w:r>
      <w:r w:rsidR="003166D6" w:rsidRPr="003166D6">
        <w:rPr>
          <w:rFonts w:ascii="Arial" w:hAnsi="Arial" w:cs="Arial"/>
          <w:b/>
          <w:sz w:val="22"/>
          <w:szCs w:val="22"/>
        </w:rPr>
        <w:t> </w:t>
      </w:r>
      <w:r w:rsidRPr="003166D6">
        <w:rPr>
          <w:rFonts w:ascii="Arial" w:hAnsi="Arial" w:cs="Arial"/>
          <w:b/>
          <w:sz w:val="22"/>
          <w:szCs w:val="22"/>
        </w:rPr>
        <w:t>48</w:t>
      </w:r>
      <w:r w:rsidR="003166D6" w:rsidRPr="003166D6">
        <w:rPr>
          <w:rFonts w:ascii="Arial" w:hAnsi="Arial" w:cs="Arial"/>
          <w:b/>
          <w:sz w:val="22"/>
          <w:szCs w:val="22"/>
        </w:rPr>
        <w:t> </w:t>
      </w:r>
      <w:r w:rsidRPr="003166D6">
        <w:rPr>
          <w:rFonts w:ascii="Arial" w:hAnsi="Arial" w:cs="Arial"/>
          <w:b/>
          <w:sz w:val="22"/>
          <w:szCs w:val="22"/>
        </w:rPr>
        <w:t>82</w:t>
      </w:r>
    </w:p>
    <w:p w:rsidR="00614763" w:rsidRDefault="004E0F34" w:rsidP="005E68EF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14763" w:rsidRPr="007711ED">
        <w:rPr>
          <w:rFonts w:ascii="Arial" w:hAnsi="Arial" w:cs="Arial"/>
          <w:sz w:val="22"/>
          <w:szCs w:val="22"/>
        </w:rPr>
        <w:t>a capitainerie se réserve le droit de prendre toutes mesures appropriées afin</w:t>
      </w:r>
      <w:r w:rsidR="00614763">
        <w:rPr>
          <w:rFonts w:ascii="Arial" w:hAnsi="Arial" w:cs="Arial"/>
          <w:sz w:val="22"/>
          <w:szCs w:val="22"/>
        </w:rPr>
        <w:t xml:space="preserve"> de</w:t>
      </w:r>
      <w:r w:rsidR="00614763"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="00614763" w:rsidRPr="00324785">
        <w:rPr>
          <w:rFonts w:ascii="Arial" w:hAnsi="Arial" w:cs="Arial"/>
          <w:sz w:val="22"/>
          <w:szCs w:val="22"/>
        </w:rPr>
        <w:t>compromettr</w:t>
      </w:r>
      <w:r w:rsidR="00614763">
        <w:rPr>
          <w:rFonts w:ascii="Arial" w:hAnsi="Arial" w:cs="Arial"/>
          <w:sz w:val="22"/>
          <w:szCs w:val="22"/>
        </w:rPr>
        <w:t>e la bonne exploita</w:t>
      </w:r>
      <w:r w:rsidR="00D45D94">
        <w:rPr>
          <w:rFonts w:ascii="Arial" w:hAnsi="Arial" w:cs="Arial"/>
          <w:sz w:val="22"/>
          <w:szCs w:val="22"/>
        </w:rPr>
        <w:t>tion du port et de ses ouvrages</w:t>
      </w:r>
    </w:p>
    <w:p w:rsidR="00614763" w:rsidRPr="00D167F7" w:rsidRDefault="00614763" w:rsidP="005E68EF">
      <w:pPr>
        <w:spacing w:before="120"/>
        <w:ind w:left="567" w:right="567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</w:t>
      </w:r>
      <w:r w:rsidR="004631B2" w:rsidRPr="00D167F7">
        <w:rPr>
          <w:rFonts w:ascii="Arial" w:hAnsi="Arial" w:cs="Arial"/>
          <w:i/>
          <w:iCs/>
          <w:sz w:val="22"/>
          <w:szCs w:val="22"/>
        </w:rPr>
        <w:t>vérification</w:t>
      </w:r>
      <w:r w:rsidRPr="00D167F7">
        <w:rPr>
          <w:rFonts w:ascii="Arial" w:hAnsi="Arial" w:cs="Arial"/>
          <w:i/>
          <w:iCs/>
          <w:sz w:val="22"/>
          <w:szCs w:val="22"/>
        </w:rPr>
        <w:t xml:space="preserve"> de l’application des prescriptions.</w:t>
      </w:r>
    </w:p>
    <w:p w:rsidR="00614763" w:rsidRPr="006078F0" w:rsidRDefault="00614763" w:rsidP="005E68EF">
      <w:pPr>
        <w:pStyle w:val="Titre1"/>
        <w:tabs>
          <w:tab w:val="clear" w:pos="1418"/>
          <w:tab w:val="clear" w:pos="6521"/>
        </w:tabs>
        <w:spacing w:before="12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 Papeete, le</w:t>
      </w:r>
      <w:r w:rsidR="005E68EF">
        <w:rPr>
          <w:rFonts w:ascii="Arial" w:hAnsi="Arial" w:cs="Arial"/>
          <w:i/>
          <w:sz w:val="22"/>
          <w:szCs w:val="22"/>
        </w:rPr>
        <w:t xml:space="preserve"> </w:t>
      </w:r>
      <w:r w:rsidR="000D398A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D398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i/>
          <w:sz w:val="22"/>
          <w:szCs w:val="22"/>
        </w:rPr>
      </w:r>
      <w:r w:rsidR="000D398A">
        <w:rPr>
          <w:rFonts w:ascii="Arial" w:hAnsi="Arial" w:cs="Arial"/>
          <w:i/>
          <w:sz w:val="22"/>
          <w:szCs w:val="22"/>
        </w:rPr>
        <w:fldChar w:fldCharType="separate"/>
      </w:r>
      <w:bookmarkStart w:id="14" w:name="_GoBack"/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bookmarkEnd w:id="14"/>
      <w:r w:rsidR="000D398A">
        <w:rPr>
          <w:rFonts w:ascii="Arial" w:hAnsi="Arial" w:cs="Arial"/>
          <w:i/>
          <w:sz w:val="22"/>
          <w:szCs w:val="22"/>
        </w:rPr>
        <w:fldChar w:fldCharType="end"/>
      </w:r>
      <w:r w:rsidR="005E68EF">
        <w:rPr>
          <w:rFonts w:ascii="Arial" w:hAnsi="Arial" w:cs="Arial"/>
          <w:i/>
          <w:sz w:val="22"/>
          <w:szCs w:val="22"/>
        </w:rPr>
        <w:t xml:space="preserve"> / </w:t>
      </w:r>
      <w:r w:rsidR="000D398A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D398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i/>
          <w:sz w:val="22"/>
          <w:szCs w:val="22"/>
        </w:rPr>
      </w:r>
      <w:r w:rsidR="000D398A">
        <w:rPr>
          <w:rFonts w:ascii="Arial" w:hAnsi="Arial" w:cs="Arial"/>
          <w:i/>
          <w:sz w:val="22"/>
          <w:szCs w:val="22"/>
        </w:rPr>
        <w:fldChar w:fldCharType="separate"/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sz w:val="22"/>
          <w:szCs w:val="22"/>
        </w:rPr>
        <w:fldChar w:fldCharType="end"/>
      </w:r>
      <w:r w:rsidR="005E68EF">
        <w:rPr>
          <w:rFonts w:ascii="Arial" w:hAnsi="Arial" w:cs="Arial"/>
          <w:i/>
          <w:sz w:val="22"/>
          <w:szCs w:val="22"/>
        </w:rPr>
        <w:t xml:space="preserve"> / </w:t>
      </w:r>
      <w:bookmarkStart w:id="15" w:name="Texte13"/>
      <w:r w:rsidR="000D398A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0D398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0D398A">
        <w:rPr>
          <w:rFonts w:ascii="Arial" w:hAnsi="Arial" w:cs="Arial"/>
          <w:i/>
          <w:sz w:val="22"/>
          <w:szCs w:val="22"/>
        </w:rPr>
      </w:r>
      <w:r w:rsidR="000D398A">
        <w:rPr>
          <w:rFonts w:ascii="Arial" w:hAnsi="Arial" w:cs="Arial"/>
          <w:i/>
          <w:sz w:val="22"/>
          <w:szCs w:val="22"/>
        </w:rPr>
        <w:fldChar w:fldCharType="separate"/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noProof/>
          <w:sz w:val="22"/>
          <w:szCs w:val="22"/>
        </w:rPr>
        <w:t> </w:t>
      </w:r>
      <w:r w:rsidR="000D398A">
        <w:rPr>
          <w:rFonts w:ascii="Arial" w:hAnsi="Arial" w:cs="Arial"/>
          <w:i/>
          <w:sz w:val="22"/>
          <w:szCs w:val="22"/>
        </w:rPr>
        <w:fldChar w:fldCharType="end"/>
      </w:r>
      <w:bookmarkEnd w:id="15"/>
    </w:p>
    <w:p w:rsidR="0084264C" w:rsidRPr="00EF54D2" w:rsidRDefault="00614763" w:rsidP="00D45D94">
      <w:pPr>
        <w:spacing w:after="84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78195D"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5367020</wp:posOffset>
                </wp:positionV>
                <wp:extent cx="228600" cy="414655"/>
                <wp:effectExtent l="0" t="0" r="0" b="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14655"/>
                        </a:xfrm>
                        <a:prstGeom prst="curvedRightArrow">
                          <a:avLst>
                            <a:gd name="adj1" fmla="val 36278"/>
                            <a:gd name="adj2" fmla="val 725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9" o:spid="_x0000_s1026" type="#_x0000_t102" style="position:absolute;margin-left:7.5pt;margin-top:422.6pt;width:18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"/>
            </w:pict>
          </mc:Fallback>
        </mc:AlternateContent>
      </w:r>
      <w:r w:rsidR="00C46FE6">
        <w:rPr>
          <w:rFonts w:ascii="Arial" w:hAnsi="Arial" w:cs="Arial"/>
          <w:sz w:val="22"/>
          <w:szCs w:val="22"/>
        </w:rPr>
        <w:t xml:space="preserve"> / Le Surveillant de Port</w:t>
      </w:r>
    </w:p>
    <w:sectPr w:rsidR="0084264C" w:rsidRPr="00EF54D2" w:rsidSect="009B569C">
      <w:headerReference w:type="default" r:id="rId8"/>
      <w:footerReference w:type="default" r:id="rId9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69" w:rsidRDefault="00576069">
      <w:r>
        <w:separator/>
      </w:r>
    </w:p>
  </w:endnote>
  <w:endnote w:type="continuationSeparator" w:id="0">
    <w:p w:rsidR="00576069" w:rsidRDefault="005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950743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3166D6">
            <w:rPr>
              <w:rFonts w:ascii="Arial" w:hAnsi="Arial"/>
              <w:i/>
              <w:color w:val="000080"/>
              <w:sz w:val="16"/>
            </w:rPr>
            <w:t>8</w:t>
          </w:r>
          <w:r w:rsidR="00950743">
            <w:rPr>
              <w:rFonts w:ascii="Arial" w:hAnsi="Arial"/>
              <w:i/>
              <w:color w:val="000080"/>
              <w:sz w:val="16"/>
            </w:rPr>
            <w:t>9</w:t>
          </w:r>
          <w:r w:rsidR="003166D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3166D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3166D6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3166D6" w:rsidP="003166D6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 40 </w:t>
          </w:r>
          <w:r w:rsidR="00EF54D2">
            <w:rPr>
              <w:rFonts w:ascii="Arial" w:hAnsi="Arial"/>
              <w:i/>
              <w:color w:val="000080"/>
              <w:sz w:val="16"/>
            </w:rPr>
            <w:t>47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82 Fax : (00 689)</w:t>
          </w:r>
          <w:r>
            <w:rPr>
              <w:rFonts w:ascii="Arial" w:hAnsi="Arial"/>
              <w:i/>
              <w:color w:val="000080"/>
              <w:sz w:val="16"/>
            </w:rPr>
            <w:t> 40 </w:t>
          </w:r>
          <w:r w:rsidR="00EF54D2">
            <w:rPr>
              <w:rFonts w:ascii="Arial" w:hAnsi="Arial"/>
              <w:i/>
              <w:color w:val="000080"/>
              <w:sz w:val="16"/>
            </w:rPr>
            <w:t>4</w:t>
          </w:r>
          <w:r w:rsidR="00C46FE6">
            <w:rPr>
              <w:rFonts w:ascii="Arial" w:hAnsi="Arial"/>
              <w:i/>
              <w:color w:val="000080"/>
              <w:sz w:val="16"/>
            </w:rPr>
            <w:t>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C46FE6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C46FE6">
            <w:rPr>
              <w:rFonts w:ascii="Arial" w:hAnsi="Arial"/>
              <w:i/>
              <w:color w:val="000080"/>
              <w:sz w:val="16"/>
            </w:rPr>
            <w:t>8</w:t>
          </w:r>
          <w:r w:rsidR="00EF54D2"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2A0AE8" w:rsidRPr="001B0111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69" w:rsidRDefault="00576069">
      <w:r>
        <w:separator/>
      </w:r>
    </w:p>
  </w:footnote>
  <w:footnote w:type="continuationSeparator" w:id="0">
    <w:p w:rsidR="00576069" w:rsidRDefault="0057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3E5C9A">
      <w:tc>
        <w:tcPr>
          <w:tcW w:w="2694" w:type="dxa"/>
          <w:shd w:val="clear" w:color="auto" w:fill="auto"/>
          <w:vAlign w:val="center"/>
        </w:tcPr>
        <w:p w:rsidR="00A779E4" w:rsidRPr="003E5C9A" w:rsidRDefault="0078195D" w:rsidP="003E5C9A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C131D7A" wp14:editId="245E876C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79E4" w:rsidRPr="003E5C9A" w:rsidRDefault="00A779E4" w:rsidP="003E5C9A">
          <w:pPr>
            <w:jc w:val="center"/>
            <w:rPr>
              <w:b/>
              <w:noProof/>
            </w:rPr>
          </w:pPr>
          <w:r w:rsidRPr="003E5C9A">
            <w:rPr>
              <w:b/>
              <w:noProof/>
            </w:rPr>
            <w:t>CAPITAINERIE</w:t>
          </w:r>
        </w:p>
        <w:p w:rsidR="00A779E4" w:rsidRPr="003E5C9A" w:rsidRDefault="00A779E4" w:rsidP="003E5C9A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10657F" w:rsidRDefault="0010657F" w:rsidP="003E5C9A">
          <w:pPr>
            <w:jc w:val="center"/>
            <w:rPr>
              <w:rFonts w:ascii="Century Gothic" w:hAnsi="Century Gothic"/>
              <w:b/>
              <w:smallCaps/>
              <w:color w:val="0000FF"/>
              <w:sz w:val="28"/>
              <w:szCs w:val="28"/>
            </w:rPr>
          </w:pPr>
          <w:r w:rsidRPr="0010657F">
            <w:rPr>
              <w:rFonts w:ascii="Century Gothic" w:hAnsi="Century Gothic"/>
              <w:b/>
              <w:smallCaps/>
              <w:color w:val="0000FF"/>
              <w:sz w:val="28"/>
              <w:szCs w:val="28"/>
            </w:rPr>
            <w:t>Consignes Particulières de sécurité</w:t>
          </w:r>
        </w:p>
        <w:p w:rsidR="00A779E4" w:rsidRPr="003E5C9A" w:rsidRDefault="00A779E4" w:rsidP="003E5C9A">
          <w:pPr>
            <w:jc w:val="center"/>
            <w:rPr>
              <w:b/>
              <w:color w:val="FF0000"/>
              <w:sz w:val="24"/>
              <w:szCs w:val="24"/>
            </w:rPr>
          </w:pPr>
          <w:r w:rsidRPr="003E5C9A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10657F" w:rsidRDefault="0010657F" w:rsidP="0010657F">
          <w:pPr>
            <w:jc w:val="center"/>
            <w:rPr>
              <w:rFonts w:ascii="Century Gothic" w:hAnsi="Century Gothic"/>
              <w:smallCaps/>
              <w:color w:val="FF0000"/>
              <w:sz w:val="28"/>
              <w:szCs w:val="28"/>
            </w:rPr>
          </w:pPr>
          <w:r w:rsidRPr="0010657F">
            <w:rPr>
              <w:rFonts w:ascii="Century Gothic" w:hAnsi="Century Gothic"/>
              <w:b/>
              <w:smallCaps/>
              <w:color w:val="FF0000"/>
              <w:sz w:val="28"/>
              <w:szCs w:val="28"/>
            </w:rPr>
            <w:t>Transfert d’huile de citerne à citerne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3E5C9A" w:rsidRDefault="0078195D" w:rsidP="003E5C9A">
          <w:pPr>
            <w:spacing w:before="120"/>
            <w:jc w:val="center"/>
            <w:rPr>
              <w:b/>
              <w:color w:val="0000FF"/>
            </w:rPr>
          </w:pPr>
          <w:r>
            <w:rPr>
              <w:noProof/>
            </w:rPr>
            <w:drawing>
              <wp:inline distT="0" distB="0" distL="0" distR="0" wp14:anchorId="597DF341" wp14:editId="4FE9E738">
                <wp:extent cx="704850" cy="695325"/>
                <wp:effectExtent l="0" t="0" r="0" b="9525"/>
                <wp:docPr id="2" name="Image 2" descr="http://www.haute-normandie.equipement.gouv.fr/usager_route/Matieres dangereuses/images_Etiq/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haute-normandie.equipement.gouv.fr/usager_route/Matieres dangereuses/images_Etiq/image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  <w:vAlign w:val="center"/>
        </w:tcPr>
        <w:p w:rsidR="002003A6" w:rsidRPr="003E5C9A" w:rsidRDefault="00A779E4" w:rsidP="003E5C9A">
          <w:pPr>
            <w:jc w:val="right"/>
            <w:rPr>
              <w:b/>
              <w:color w:val="0000FF"/>
            </w:rPr>
          </w:pPr>
          <w:r w:rsidRPr="003E5C9A">
            <w:rPr>
              <w:b/>
              <w:color w:val="0000FF"/>
            </w:rPr>
            <w:t>F</w:t>
          </w:r>
          <w:r w:rsidR="000F53C4" w:rsidRPr="003E5C9A">
            <w:rPr>
              <w:b/>
              <w:color w:val="0000FF"/>
            </w:rPr>
            <w:t>19</w:t>
          </w:r>
          <w:r w:rsidRPr="003E5C9A">
            <w:rPr>
              <w:b/>
              <w:color w:val="0000FF"/>
            </w:rPr>
            <w:t>.</w:t>
          </w:r>
          <w:r w:rsidR="000F53C4" w:rsidRPr="003E5C9A">
            <w:rPr>
              <w:b/>
              <w:color w:val="0000FF"/>
            </w:rPr>
            <w:t>3</w:t>
          </w:r>
          <w:r w:rsidR="002003A6" w:rsidRPr="003E5C9A">
            <w:rPr>
              <w:b/>
              <w:color w:val="0000FF"/>
            </w:rPr>
            <w:t>1.</w:t>
          </w:r>
          <w:r w:rsidR="0010657F">
            <w:rPr>
              <w:b/>
              <w:color w:val="0000FF"/>
            </w:rPr>
            <w:t>14</w:t>
          </w:r>
        </w:p>
        <w:p w:rsidR="000F53C4" w:rsidRPr="003E5C9A" w:rsidRDefault="000F53C4" w:rsidP="00950743">
          <w:pPr>
            <w:jc w:val="right"/>
            <w:rPr>
              <w:b/>
              <w:color w:val="0000FF"/>
            </w:rPr>
          </w:pPr>
          <w:r w:rsidRPr="003E5C9A">
            <w:rPr>
              <w:b/>
              <w:color w:val="0000FF"/>
            </w:rPr>
            <w:t>Ind.</w:t>
          </w:r>
          <w:r w:rsidR="00950743">
            <w:rPr>
              <w:b/>
              <w:color w:val="0000FF"/>
            </w:rPr>
            <w:t>3 - 3</w:t>
          </w:r>
          <w:r w:rsidR="003166D6">
            <w:rPr>
              <w:b/>
              <w:color w:val="0000FF"/>
            </w:rPr>
            <w:t>1</w:t>
          </w:r>
          <w:r w:rsidR="002A0AE8">
            <w:rPr>
              <w:b/>
              <w:color w:val="0000FF"/>
            </w:rPr>
            <w:t>/0</w:t>
          </w:r>
          <w:r w:rsidR="00950743">
            <w:rPr>
              <w:b/>
              <w:color w:val="0000FF"/>
            </w:rPr>
            <w:t>7</w:t>
          </w:r>
          <w:r w:rsidRPr="003E5C9A">
            <w:rPr>
              <w:b/>
              <w:color w:val="0000FF"/>
            </w:rPr>
            <w:t>/201</w:t>
          </w:r>
          <w:r w:rsidR="003166D6">
            <w:rPr>
              <w:b/>
              <w:color w:val="0000FF"/>
            </w:rPr>
            <w:t>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Lnw2IrQJApsACM+cQwSpXmpk34=" w:salt="JJDKoyuEa9TdbymFCiT2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AE"/>
    <w:rsid w:val="00000062"/>
    <w:rsid w:val="00034FBC"/>
    <w:rsid w:val="000B21B8"/>
    <w:rsid w:val="000D398A"/>
    <w:rsid w:val="000F52DF"/>
    <w:rsid w:val="000F53C4"/>
    <w:rsid w:val="0010657F"/>
    <w:rsid w:val="001304BF"/>
    <w:rsid w:val="00157A4E"/>
    <w:rsid w:val="001A18E1"/>
    <w:rsid w:val="001F1622"/>
    <w:rsid w:val="001F565F"/>
    <w:rsid w:val="002003A6"/>
    <w:rsid w:val="002A0AE8"/>
    <w:rsid w:val="002B5CFA"/>
    <w:rsid w:val="003166D6"/>
    <w:rsid w:val="00316C3D"/>
    <w:rsid w:val="00375F89"/>
    <w:rsid w:val="003A303C"/>
    <w:rsid w:val="003E10C7"/>
    <w:rsid w:val="003E5C9A"/>
    <w:rsid w:val="003F0C56"/>
    <w:rsid w:val="0041424C"/>
    <w:rsid w:val="004158CA"/>
    <w:rsid w:val="004631B2"/>
    <w:rsid w:val="004B7A90"/>
    <w:rsid w:val="004C338F"/>
    <w:rsid w:val="004E0F34"/>
    <w:rsid w:val="0053309F"/>
    <w:rsid w:val="0053761B"/>
    <w:rsid w:val="00576069"/>
    <w:rsid w:val="005E68EF"/>
    <w:rsid w:val="00606C9D"/>
    <w:rsid w:val="00614763"/>
    <w:rsid w:val="00635DAE"/>
    <w:rsid w:val="00660264"/>
    <w:rsid w:val="00683BB4"/>
    <w:rsid w:val="006F44B2"/>
    <w:rsid w:val="00716759"/>
    <w:rsid w:val="00744D00"/>
    <w:rsid w:val="00761A0C"/>
    <w:rsid w:val="0078195D"/>
    <w:rsid w:val="0084264C"/>
    <w:rsid w:val="008636D2"/>
    <w:rsid w:val="00950743"/>
    <w:rsid w:val="009B569C"/>
    <w:rsid w:val="009D686E"/>
    <w:rsid w:val="00A24C36"/>
    <w:rsid w:val="00A5177F"/>
    <w:rsid w:val="00A74CAC"/>
    <w:rsid w:val="00A779E4"/>
    <w:rsid w:val="00A80350"/>
    <w:rsid w:val="00AB7D42"/>
    <w:rsid w:val="00B14125"/>
    <w:rsid w:val="00B974C1"/>
    <w:rsid w:val="00C0774A"/>
    <w:rsid w:val="00C139E4"/>
    <w:rsid w:val="00C4299B"/>
    <w:rsid w:val="00C46FE6"/>
    <w:rsid w:val="00C907BD"/>
    <w:rsid w:val="00C9099B"/>
    <w:rsid w:val="00CD369B"/>
    <w:rsid w:val="00D1134B"/>
    <w:rsid w:val="00D45D94"/>
    <w:rsid w:val="00D846A7"/>
    <w:rsid w:val="00D87803"/>
    <w:rsid w:val="00DE21B9"/>
    <w:rsid w:val="00E6088C"/>
    <w:rsid w:val="00EB5D46"/>
    <w:rsid w:val="00EF163C"/>
    <w:rsid w:val="00EF54D2"/>
    <w:rsid w:val="00F02B09"/>
    <w:rsid w:val="00F354AB"/>
    <w:rsid w:val="00F770D8"/>
    <w:rsid w:val="00FA5215"/>
    <w:rsid w:val="00FE56AA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F5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F5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F19.31.14</vt:lpstr>
    </vt:vector>
  </TitlesOfParts>
  <Company>PORT AUTONOME DE PAPEETE</Company>
  <LinksUpToDate>false</LinksUpToDate>
  <CharactersWithSpaces>2452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17596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F19.31.14</dc:title>
  <dc:subject>Consignes particulières Transfert d'huile de citerne à citerne</dc:subject>
  <dc:creator>RQ</dc:creator>
  <dc:description>DIFFUSION : DG - ADA - ADT - DF - NAV - CSS - SC - SGD - REM - SPP VERIFICATEURS : NAV - RQ APPROBATEUR : DG</dc:description>
  <cp:lastModifiedBy>Yolande Moreau</cp:lastModifiedBy>
  <cp:revision>3</cp:revision>
  <cp:lastPrinted>2014-01-10T00:27:00Z</cp:lastPrinted>
  <dcterms:created xsi:type="dcterms:W3CDTF">2014-01-10T00:26:00Z</dcterms:created>
  <dcterms:modified xsi:type="dcterms:W3CDTF">2015-07-25T00:43:00Z</dcterms:modified>
  <cp:category>Processus Support</cp:category>
</cp:coreProperties>
</file>